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财务管理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（春季高考）</w:t>
      </w:r>
      <w:r>
        <w:rPr>
          <w:rFonts w:hint="eastAsia" w:ascii="仿宋" w:hAnsi="仿宋" w:eastAsia="仿宋" w:cs="仿宋"/>
          <w:b/>
          <w:sz w:val="36"/>
          <w:szCs w:val="36"/>
        </w:rPr>
        <w:t>专业人才培养方案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36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一、专业代码、名称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专业代码：120204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专业名称：财务管理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学    制：四年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授予学位：管理学学士学位 </w:t>
      </w:r>
    </w:p>
    <w:p>
      <w:pPr>
        <w:spacing w:beforeLines="50" w:afterLines="50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二、专业培养目标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本专业培养</w:t>
      </w:r>
      <w:r>
        <w:rPr>
          <w:rFonts w:hint="eastAsia" w:ascii="仿宋" w:hAnsi="仿宋" w:eastAsia="仿宋" w:cs="仿宋"/>
          <w:sz w:val="24"/>
        </w:rPr>
        <w:t>适应</w:t>
      </w:r>
      <w:r>
        <w:rPr>
          <w:rFonts w:ascii="仿宋" w:hAnsi="仿宋" w:eastAsia="仿宋" w:cs="仿宋"/>
          <w:sz w:val="24"/>
        </w:rPr>
        <w:t>地方社会经济建设需要</w:t>
      </w:r>
      <w:r>
        <w:rPr>
          <w:rFonts w:hint="eastAsia" w:ascii="仿宋" w:hAnsi="仿宋" w:eastAsia="仿宋" w:cs="仿宋"/>
          <w:sz w:val="24"/>
        </w:rPr>
        <w:t>，</w:t>
      </w:r>
      <w:r>
        <w:rPr>
          <w:rFonts w:ascii="仿宋" w:hAnsi="仿宋" w:eastAsia="仿宋" w:cs="仿宋"/>
          <w:sz w:val="24"/>
        </w:rPr>
        <w:t>知识</w:t>
      </w:r>
      <w:r>
        <w:rPr>
          <w:rFonts w:hint="eastAsia" w:ascii="仿宋" w:hAnsi="仿宋" w:eastAsia="仿宋" w:cs="仿宋"/>
          <w:sz w:val="24"/>
        </w:rPr>
        <w:t>、素质、能力协调发展，能在营利性与非营利性组织胜任财务管理、会计、金融、审计工作，具备扎实的基础理论，有较强的专业知识和动手能力，有创新精神和后续发展能力的高素质应用型人才。</w:t>
      </w:r>
    </w:p>
    <w:p>
      <w:pPr>
        <w:spacing w:beforeLines="50" w:afterLines="50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三、专业培养要求</w:t>
      </w:r>
    </w:p>
    <w:p>
      <w:pPr>
        <w:widowControl/>
        <w:spacing w:line="360" w:lineRule="auto"/>
        <w:ind w:firstLine="480" w:firstLineChars="20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</w:t>
      </w:r>
      <w:r>
        <w:rPr>
          <w:rFonts w:hint="eastAsia" w:ascii="仿宋" w:hAnsi="仿宋" w:eastAsia="仿宋" w:cs="仿宋"/>
          <w:sz w:val="24"/>
        </w:rPr>
        <w:t>具有明确的职业规划、良好的职业道德、高尚的人格和社会责任感，以及较高的</w:t>
      </w:r>
      <w:r>
        <w:rPr>
          <w:rFonts w:ascii="仿宋" w:hAnsi="仿宋" w:eastAsia="仿宋" w:cs="仿宋"/>
          <w:sz w:val="24"/>
        </w:rPr>
        <w:t>人文</w:t>
      </w:r>
      <w:r>
        <w:rPr>
          <w:rFonts w:hint="eastAsia" w:ascii="仿宋" w:hAnsi="仿宋" w:eastAsia="仿宋" w:cs="仿宋"/>
          <w:sz w:val="24"/>
        </w:rPr>
        <w:t>素质</w:t>
      </w:r>
      <w:r>
        <w:rPr>
          <w:rFonts w:ascii="仿宋" w:hAnsi="仿宋" w:eastAsia="仿宋" w:cs="仿宋"/>
          <w:sz w:val="24"/>
        </w:rPr>
        <w:t>、科学</w:t>
      </w:r>
      <w:r>
        <w:rPr>
          <w:rFonts w:hint="eastAsia" w:ascii="仿宋" w:hAnsi="仿宋" w:eastAsia="仿宋" w:cs="仿宋"/>
          <w:sz w:val="24"/>
        </w:rPr>
        <w:t>素养；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2.掌握经济学和管理学基本理论，掌握相关性定量定性分析方法，具备一定的经济管理能力；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3.掌握财务管理学、会计学、金融学、审计学等理论和方法，熟悉相关法律法规，具备较强的职业判断能力；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4.掌握财务管理和信息化基本理论和方法，具备财务数据挖掘和财务优化决策能力；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5.掌握会计实务和纳税申报操作技能，具备一定的职业素养和专业实践能力；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6.掌握文献检索方法，具有较强的语言文字表达能力；</w:t>
      </w:r>
    </w:p>
    <w:p>
      <w:pPr>
        <w:widowControl/>
        <w:spacing w:line="360" w:lineRule="auto"/>
        <w:ind w:firstLine="482"/>
        <w:jc w:val="left"/>
        <w:textAlignment w:val="baseline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7.了解企业设立及运营的专业知识，具有人际沟通、团结协作能力和创新创业能力。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</w:p>
    <w:p>
      <w:pPr>
        <w:pStyle w:val="7"/>
        <w:spacing w:before="0" w:beforeAutospacing="0" w:after="0" w:afterAutospacing="0" w:line="36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四、主干学科及相近专业</w:t>
      </w:r>
    </w:p>
    <w:p>
      <w:pPr>
        <w:widowControl/>
        <w:spacing w:line="360" w:lineRule="auto"/>
        <w:ind w:firstLine="482"/>
        <w:jc w:val="left"/>
        <w:textAlignment w:val="baseline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主干学科：经济学、管理学</w:t>
      </w:r>
    </w:p>
    <w:p>
      <w:pPr>
        <w:pStyle w:val="7"/>
        <w:spacing w:before="0" w:beforeAutospacing="0" w:after="0" w:afterAutospacing="0" w:line="360" w:lineRule="auto"/>
        <w:ind w:firstLine="48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相近专业：会计学</w:t>
      </w:r>
    </w:p>
    <w:p>
      <w:pPr>
        <w:pStyle w:val="7"/>
        <w:spacing w:before="0" w:beforeAutospacing="0" w:after="0" w:afterAutospacing="0" w:line="48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五、主要课程</w:t>
      </w:r>
    </w:p>
    <w:p>
      <w:pPr>
        <w:pStyle w:val="7"/>
        <w:spacing w:before="0" w:beforeAutospacing="0" w:after="0" w:afterAutospacing="0" w:line="480" w:lineRule="auto"/>
        <w:ind w:firstLine="480" w:firstLineChars="200"/>
        <w:rPr>
          <w:rFonts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微观经济学、宏观经济学、管理学原理、基础会计、统计学原理、金融学、中级财务会计、财务管理、成本会计、管理会计、税法、财务分析、内部控制与风险管理、高级财务管理等。</w:t>
      </w:r>
    </w:p>
    <w:p>
      <w:pPr>
        <w:pStyle w:val="7"/>
        <w:spacing w:before="0" w:beforeAutospacing="0" w:after="0" w:afterAutospacing="0" w:line="48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六、主要实践性教学环节</w:t>
      </w:r>
    </w:p>
    <w:p>
      <w:pPr>
        <w:widowControl/>
        <w:spacing w:line="480" w:lineRule="auto"/>
        <w:ind w:firstLine="482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基础会计实验、成本会计实验、管理会计实验、税法实验（纳税申报）、Excel在财务管理中的应用、企业沙盘模拟、会计手工实验、会计电算化实验、财务管理综合实验、VBSE综合实训、毕业论文、毕业实习等。</w:t>
      </w:r>
    </w:p>
    <w:p>
      <w:pPr>
        <w:pStyle w:val="7"/>
        <w:spacing w:before="0" w:beforeAutospacing="0" w:after="0" w:afterAutospacing="0" w:line="480" w:lineRule="auto"/>
        <w:ind w:firstLine="56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七、课程与培养要求对应矩阵（附1）</w:t>
      </w:r>
    </w:p>
    <w:p>
      <w:pPr>
        <w:pStyle w:val="7"/>
        <w:spacing w:before="0" w:beforeAutospacing="0" w:after="0" w:afterAutospacing="0" w:line="480" w:lineRule="auto"/>
        <w:ind w:firstLine="56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八、课程体系及学时学分比例</w:t>
      </w:r>
    </w:p>
    <w:p>
      <w:pPr>
        <w:spacing w:beforeLines="50" w:afterLines="50"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表一：</w:t>
      </w:r>
    </w:p>
    <w:tbl>
      <w:tblPr>
        <w:tblStyle w:val="9"/>
        <w:tblW w:w="8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153"/>
        <w:gridCol w:w="1500"/>
        <w:gridCol w:w="1360"/>
        <w:gridCol w:w="152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Merge w:val="restart"/>
            <w:vAlign w:val="center"/>
          </w:tcPr>
          <w:p>
            <w:pPr>
              <w:spacing w:beforeLines="50" w:afterLines="50"/>
              <w:ind w:firstLine="56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8"/>
              </w:rPr>
              <w:pict>
                <v:line id="_x0000_s1030" o:spid="_x0000_s1030" o:spt="20" style="position:absolute;left:0pt;margin-left:-3.7pt;margin-top:1.55pt;height:60.2pt;width:92.15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ascii="宋体" w:hAnsi="宋体"/>
                <w:sz w:val="28"/>
              </w:rPr>
              <w:pict>
                <v:line id="_x0000_s1028" o:spid="_x0000_s1028" o:spt="20" style="position:absolute;left:0pt;margin-left:-3.7pt;margin-top:1.55pt;height:60.2pt;width:92.15pt;z-index:25165721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szCs w:val="21"/>
              </w:rPr>
              <w:t>课程类别</w:t>
            </w:r>
          </w:p>
          <w:p>
            <w:pPr>
              <w:spacing w:beforeLines="50" w:afterLines="5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必修</w:t>
            </w:r>
          </w:p>
        </w:tc>
        <w:tc>
          <w:tcPr>
            <w:tcW w:w="4380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选修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专业限选</w:t>
            </w:r>
          </w:p>
        </w:tc>
        <w:tc>
          <w:tcPr>
            <w:tcW w:w="13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专业任选</w:t>
            </w:r>
          </w:p>
        </w:tc>
        <w:tc>
          <w:tcPr>
            <w:tcW w:w="152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全校通选</w:t>
            </w:r>
          </w:p>
        </w:tc>
        <w:tc>
          <w:tcPr>
            <w:tcW w:w="1450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15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125.5</w:t>
            </w:r>
          </w:p>
        </w:tc>
        <w:tc>
          <w:tcPr>
            <w:tcW w:w="150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52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45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占总学分比例</w:t>
            </w:r>
          </w:p>
        </w:tc>
        <w:tc>
          <w:tcPr>
            <w:tcW w:w="115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78.68%</w:t>
            </w:r>
          </w:p>
        </w:tc>
        <w:tc>
          <w:tcPr>
            <w:tcW w:w="150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7.52%</w:t>
            </w:r>
          </w:p>
        </w:tc>
        <w:tc>
          <w:tcPr>
            <w:tcW w:w="13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5.02%</w:t>
            </w:r>
          </w:p>
        </w:tc>
        <w:tc>
          <w:tcPr>
            <w:tcW w:w="152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8.78%</w:t>
            </w:r>
          </w:p>
        </w:tc>
        <w:tc>
          <w:tcPr>
            <w:tcW w:w="145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15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2474</w:t>
            </w:r>
          </w:p>
        </w:tc>
        <w:tc>
          <w:tcPr>
            <w:tcW w:w="150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224</w:t>
            </w:r>
          </w:p>
        </w:tc>
        <w:tc>
          <w:tcPr>
            <w:tcW w:w="13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128</w:t>
            </w:r>
          </w:p>
        </w:tc>
        <w:tc>
          <w:tcPr>
            <w:tcW w:w="152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224</w:t>
            </w:r>
          </w:p>
        </w:tc>
        <w:tc>
          <w:tcPr>
            <w:tcW w:w="145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占总学时比例</w:t>
            </w:r>
          </w:p>
        </w:tc>
        <w:tc>
          <w:tcPr>
            <w:tcW w:w="115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81.11%</w:t>
            </w:r>
          </w:p>
        </w:tc>
        <w:tc>
          <w:tcPr>
            <w:tcW w:w="150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7.34%</w:t>
            </w:r>
          </w:p>
        </w:tc>
        <w:tc>
          <w:tcPr>
            <w:tcW w:w="13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%</w:t>
            </w:r>
          </w:p>
        </w:tc>
        <w:tc>
          <w:tcPr>
            <w:tcW w:w="152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7.34%</w:t>
            </w:r>
          </w:p>
        </w:tc>
        <w:tc>
          <w:tcPr>
            <w:tcW w:w="145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</w:t>
            </w:r>
          </w:p>
        </w:tc>
      </w:tr>
    </w:tbl>
    <w:p>
      <w:pPr>
        <w:spacing w:beforeLines="50" w:afterLines="50"/>
        <w:rPr>
          <w:rFonts w:hint="eastAsia" w:ascii="宋体" w:hAnsi="宋体"/>
          <w:sz w:val="24"/>
        </w:rPr>
      </w:pPr>
    </w:p>
    <w:p>
      <w:pPr>
        <w:spacing w:beforeLines="50" w:after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.</w:t>
      </w:r>
      <w:bookmarkStart w:id="0" w:name="_GoBack"/>
      <w:bookmarkEnd w:id="0"/>
    </w:p>
    <w:p>
      <w:pPr>
        <w:spacing w:beforeLines="50" w:afterLines="50"/>
        <w:rPr>
          <w:rFonts w:ascii="宋体" w:hAnsi="宋体"/>
          <w:sz w:val="24"/>
        </w:rPr>
      </w:pPr>
    </w:p>
    <w:p>
      <w:pPr>
        <w:spacing w:beforeLines="50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表二：</w:t>
      </w:r>
    </w:p>
    <w:tbl>
      <w:tblPr>
        <w:tblStyle w:val="9"/>
        <w:tblW w:w="8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023"/>
        <w:gridCol w:w="1460"/>
        <w:gridCol w:w="1290"/>
        <w:gridCol w:w="1470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Merge w:val="restart"/>
            <w:vAlign w:val="center"/>
          </w:tcPr>
          <w:p>
            <w:pPr>
              <w:spacing w:beforeLines="50" w:afterLines="50"/>
              <w:ind w:firstLine="56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8"/>
              </w:rPr>
              <w:pict>
                <v:line id="_x0000_s1029" o:spid="_x0000_s1029" o:spt="20" style="position:absolute;left:0pt;margin-left:-3.7pt;margin-top:1.55pt;height:61.05pt;width:93.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szCs w:val="21"/>
              </w:rPr>
              <w:t>课程类别</w:t>
            </w:r>
          </w:p>
          <w:p>
            <w:pPr>
              <w:spacing w:beforeLines="50" w:afterLines="5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理论</w:t>
            </w:r>
          </w:p>
        </w:tc>
        <w:tc>
          <w:tcPr>
            <w:tcW w:w="4220" w:type="dxa"/>
            <w:gridSpan w:val="3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实验实践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实验</w:t>
            </w:r>
          </w:p>
        </w:tc>
        <w:tc>
          <w:tcPr>
            <w:tcW w:w="12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</w:p>
        </w:tc>
        <w:tc>
          <w:tcPr>
            <w:tcW w:w="147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544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</w:t>
            </w:r>
          </w:p>
        </w:tc>
        <w:tc>
          <w:tcPr>
            <w:tcW w:w="102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125.5</w:t>
            </w:r>
          </w:p>
        </w:tc>
        <w:tc>
          <w:tcPr>
            <w:tcW w:w="14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2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544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占总学分比例</w:t>
            </w:r>
          </w:p>
        </w:tc>
        <w:tc>
          <w:tcPr>
            <w:tcW w:w="102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78.68%</w:t>
            </w:r>
          </w:p>
        </w:tc>
        <w:tc>
          <w:tcPr>
            <w:tcW w:w="14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9.40%</w:t>
            </w:r>
          </w:p>
        </w:tc>
        <w:tc>
          <w:tcPr>
            <w:tcW w:w="12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3.13%</w:t>
            </w:r>
          </w:p>
        </w:tc>
        <w:tc>
          <w:tcPr>
            <w:tcW w:w="147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8.79%</w:t>
            </w:r>
          </w:p>
        </w:tc>
        <w:tc>
          <w:tcPr>
            <w:tcW w:w="1544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学时</w:t>
            </w:r>
          </w:p>
        </w:tc>
        <w:tc>
          <w:tcPr>
            <w:tcW w:w="102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color w:val="auto"/>
                <w:szCs w:val="21"/>
              </w:rPr>
            </w:pPr>
            <w:r>
              <w:rPr>
                <w:rFonts w:hint="eastAsia" w:ascii="宋体" w:hAnsi="宋体" w:eastAsia="Malgun Gothic"/>
                <w:color w:val="auto"/>
                <w:szCs w:val="21"/>
                <w:lang w:eastAsia="ko-KR"/>
              </w:rPr>
              <w:t>2</w:t>
            </w:r>
            <w:r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  <w:t>000</w:t>
            </w:r>
          </w:p>
        </w:tc>
        <w:tc>
          <w:tcPr>
            <w:tcW w:w="14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 w:eastAsiaTheme="minorEastAsia"/>
                <w:color w:val="auto"/>
                <w:szCs w:val="21"/>
              </w:rPr>
            </w:pPr>
            <w:r>
              <w:rPr>
                <w:rFonts w:hint="eastAsia" w:ascii="宋体" w:hAnsi="宋体" w:eastAsia="Malgun Gothic"/>
                <w:color w:val="auto"/>
                <w:szCs w:val="21"/>
                <w:lang w:eastAsia="ko-KR"/>
              </w:rPr>
              <w:t>4</w:t>
            </w:r>
            <w:r>
              <w:rPr>
                <w:rFonts w:hint="eastAsia" w:ascii="宋体" w:hAnsi="宋体" w:eastAsiaTheme="minorEastAsia"/>
                <w:color w:val="auto"/>
                <w:szCs w:val="21"/>
              </w:rPr>
              <w:t>20</w:t>
            </w:r>
          </w:p>
        </w:tc>
        <w:tc>
          <w:tcPr>
            <w:tcW w:w="12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120</w:t>
            </w:r>
          </w:p>
        </w:tc>
        <w:tc>
          <w:tcPr>
            <w:tcW w:w="1470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  <w:t>510</w:t>
            </w:r>
          </w:p>
        </w:tc>
        <w:tc>
          <w:tcPr>
            <w:tcW w:w="1544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占总学时比例</w:t>
            </w:r>
          </w:p>
        </w:tc>
        <w:tc>
          <w:tcPr>
            <w:tcW w:w="1023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65.57</w:t>
            </w:r>
            <w:r>
              <w:rPr>
                <w:rFonts w:hint="eastAsia" w:ascii="宋体" w:hAnsi="宋体"/>
                <w:color w:val="auto"/>
                <w:szCs w:val="21"/>
              </w:rPr>
              <w:t>%</w:t>
            </w:r>
          </w:p>
        </w:tc>
        <w:tc>
          <w:tcPr>
            <w:tcW w:w="146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Malgun Gothic"/>
                <w:color w:val="auto"/>
                <w:szCs w:val="21"/>
                <w:lang w:eastAsia="ko-KR"/>
              </w:rPr>
              <w:t>1</w:t>
            </w:r>
            <w:r>
              <w:rPr>
                <w:rFonts w:hint="eastAsia" w:ascii="宋体" w:hAnsi="宋体" w:eastAsiaTheme="minorEastAsia"/>
                <w:color w:val="auto"/>
                <w:szCs w:val="21"/>
              </w:rPr>
              <w:t>3.77</w:t>
            </w:r>
            <w:r>
              <w:rPr>
                <w:rFonts w:hint="eastAsia" w:ascii="宋体" w:hAnsi="宋体"/>
                <w:color w:val="auto"/>
                <w:szCs w:val="21"/>
              </w:rPr>
              <w:t>%</w:t>
            </w:r>
          </w:p>
        </w:tc>
        <w:tc>
          <w:tcPr>
            <w:tcW w:w="129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3.93%</w:t>
            </w:r>
          </w:p>
        </w:tc>
        <w:tc>
          <w:tcPr>
            <w:tcW w:w="1470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Theme="minorEastAsia"/>
                <w:color w:val="auto"/>
                <w:szCs w:val="21"/>
              </w:rPr>
              <w:t>1</w:t>
            </w:r>
            <w:r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  <w:t>6.73</w:t>
            </w:r>
            <w:r>
              <w:rPr>
                <w:rFonts w:hint="eastAsia" w:ascii="宋体" w:hAnsi="宋体"/>
                <w:color w:val="auto"/>
                <w:szCs w:val="21"/>
              </w:rPr>
              <w:t>%</w:t>
            </w:r>
          </w:p>
        </w:tc>
        <w:tc>
          <w:tcPr>
            <w:tcW w:w="1544" w:type="dxa"/>
            <w:vAlign w:val="center"/>
          </w:tcPr>
          <w:p>
            <w:pPr>
              <w:spacing w:beforeLines="50" w:afterLines="5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100%</w:t>
            </w:r>
          </w:p>
        </w:tc>
      </w:tr>
    </w:tbl>
    <w:p>
      <w:pPr>
        <w:pStyle w:val="7"/>
        <w:spacing w:before="0" w:beforeAutospacing="0" w:after="0" w:afterAutospacing="0" w:line="48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九、毕业标准与要求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仿宋"/>
          <w:kern w:val="2"/>
          <w:szCs w:val="28"/>
        </w:rPr>
      </w:pPr>
      <w:r>
        <w:rPr>
          <w:rFonts w:hint="eastAsia" w:ascii="仿宋" w:hAnsi="仿宋" w:eastAsia="仿宋" w:cs="仿宋"/>
          <w:kern w:val="2"/>
          <w:szCs w:val="28"/>
        </w:rPr>
        <w:t>1．达到德育培养目标；</w:t>
      </w:r>
    </w:p>
    <w:p>
      <w:pPr>
        <w:pStyle w:val="7"/>
        <w:spacing w:before="0" w:beforeAutospacing="0" w:after="0" w:afterAutospacing="0" w:line="360" w:lineRule="auto"/>
        <w:ind w:firstLine="480" w:firstLineChars="200"/>
        <w:rPr>
          <w:rFonts w:ascii="仿宋" w:hAnsi="仿宋" w:eastAsia="仿宋" w:cs="仿宋"/>
          <w:kern w:val="2"/>
          <w:szCs w:val="28"/>
        </w:rPr>
      </w:pPr>
      <w:r>
        <w:rPr>
          <w:rFonts w:hint="eastAsia" w:ascii="仿宋" w:hAnsi="仿宋" w:eastAsia="仿宋" w:cs="仿宋"/>
          <w:kern w:val="2"/>
          <w:szCs w:val="28"/>
        </w:rPr>
        <w:t>2．修满本培养方案规定的学分：本专业学生在校期间必须修满教学计划规定的159.5学分方能毕业。其中，公共课35学分，学科基础课34.5学分，专业核心课29.5学分，专业选修课20学分，实践教学课26.5学分（不含课内实验学分），素质拓展课14学分。</w:t>
      </w:r>
    </w:p>
    <w:p>
      <w:pPr>
        <w:pStyle w:val="7"/>
        <w:spacing w:before="0" w:beforeAutospacing="0" w:after="0" w:afterAutospacing="0" w:line="480" w:lineRule="auto"/>
        <w:ind w:firstLine="480" w:firstLineChars="200"/>
        <w:rPr>
          <w:rFonts w:ascii="仿宋" w:hAnsi="仿宋" w:eastAsia="仿宋" w:cs="仿宋"/>
          <w:kern w:val="2"/>
          <w:szCs w:val="28"/>
        </w:rPr>
      </w:pPr>
      <w:r>
        <w:rPr>
          <w:rFonts w:hint="eastAsia" w:ascii="仿宋" w:hAnsi="仿宋" w:eastAsia="仿宋" w:cs="仿宋"/>
          <w:kern w:val="2"/>
          <w:szCs w:val="28"/>
        </w:rPr>
        <w:t>3．达到国家教育部要求的大学生体育合格标准。</w:t>
      </w:r>
    </w:p>
    <w:p>
      <w:pPr>
        <w:pStyle w:val="7"/>
        <w:spacing w:before="0" w:beforeAutospacing="0" w:after="0" w:afterAutospacing="0" w:line="48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</w:rPr>
        <w:t>十、财务管理专业指导性教学计划进程表（附2）</w:t>
      </w:r>
    </w:p>
    <w:p>
      <w:pPr>
        <w:spacing w:line="480" w:lineRule="auto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十一、专业指导性集中实践教学环节表（附3）</w:t>
      </w:r>
    </w:p>
    <w:p>
      <w:pPr>
        <w:pStyle w:val="7"/>
        <w:spacing w:before="0" w:beforeAutospacing="0" w:after="0" w:afterAutospacing="0" w:line="480" w:lineRule="auto"/>
        <w:ind w:firstLine="562" w:firstLineChars="200"/>
        <w:rPr>
          <w:rFonts w:ascii="仿宋" w:hAnsi="仿宋" w:eastAsia="仿宋" w:cs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十二、分学期课程进程表（附4）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altName w:val="Gulim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C38"/>
    <w:rsid w:val="00027006"/>
    <w:rsid w:val="000648B0"/>
    <w:rsid w:val="00066F9D"/>
    <w:rsid w:val="000A1AC8"/>
    <w:rsid w:val="000A3053"/>
    <w:rsid w:val="000B4FB5"/>
    <w:rsid w:val="000C46F5"/>
    <w:rsid w:val="000D1A3B"/>
    <w:rsid w:val="000D2695"/>
    <w:rsid w:val="000D31E8"/>
    <w:rsid w:val="000E6CAF"/>
    <w:rsid w:val="00142684"/>
    <w:rsid w:val="00185589"/>
    <w:rsid w:val="0019012B"/>
    <w:rsid w:val="001925BB"/>
    <w:rsid w:val="001A52D2"/>
    <w:rsid w:val="001B3373"/>
    <w:rsid w:val="00212433"/>
    <w:rsid w:val="00261848"/>
    <w:rsid w:val="00264DA2"/>
    <w:rsid w:val="002B291D"/>
    <w:rsid w:val="002E0981"/>
    <w:rsid w:val="002E579B"/>
    <w:rsid w:val="002F5416"/>
    <w:rsid w:val="00316FB7"/>
    <w:rsid w:val="00322FAC"/>
    <w:rsid w:val="0032718F"/>
    <w:rsid w:val="00364A19"/>
    <w:rsid w:val="00367BE8"/>
    <w:rsid w:val="00396F6F"/>
    <w:rsid w:val="003B386A"/>
    <w:rsid w:val="003C03C6"/>
    <w:rsid w:val="003C22D6"/>
    <w:rsid w:val="003F4D13"/>
    <w:rsid w:val="003F4D1D"/>
    <w:rsid w:val="00406CC7"/>
    <w:rsid w:val="00436091"/>
    <w:rsid w:val="00436809"/>
    <w:rsid w:val="0044236A"/>
    <w:rsid w:val="004472ED"/>
    <w:rsid w:val="004572BD"/>
    <w:rsid w:val="00497457"/>
    <w:rsid w:val="00497B80"/>
    <w:rsid w:val="004A3C63"/>
    <w:rsid w:val="004B5E60"/>
    <w:rsid w:val="00562637"/>
    <w:rsid w:val="005976F7"/>
    <w:rsid w:val="005A0578"/>
    <w:rsid w:val="005F0B95"/>
    <w:rsid w:val="005F18EB"/>
    <w:rsid w:val="00600226"/>
    <w:rsid w:val="00603581"/>
    <w:rsid w:val="0061133E"/>
    <w:rsid w:val="006C6802"/>
    <w:rsid w:val="006F29CE"/>
    <w:rsid w:val="00726306"/>
    <w:rsid w:val="00730F2B"/>
    <w:rsid w:val="00800D6E"/>
    <w:rsid w:val="00831824"/>
    <w:rsid w:val="00841D9F"/>
    <w:rsid w:val="00891616"/>
    <w:rsid w:val="008A7326"/>
    <w:rsid w:val="008C18D7"/>
    <w:rsid w:val="008D40FF"/>
    <w:rsid w:val="008F170B"/>
    <w:rsid w:val="008F3C50"/>
    <w:rsid w:val="0095385A"/>
    <w:rsid w:val="009B08D7"/>
    <w:rsid w:val="009C4FC6"/>
    <w:rsid w:val="00A0048C"/>
    <w:rsid w:val="00A038BB"/>
    <w:rsid w:val="00A476D9"/>
    <w:rsid w:val="00A675CA"/>
    <w:rsid w:val="00A836CF"/>
    <w:rsid w:val="00A83BB4"/>
    <w:rsid w:val="00AD7CBE"/>
    <w:rsid w:val="00AF2A7F"/>
    <w:rsid w:val="00AF2AA7"/>
    <w:rsid w:val="00B37930"/>
    <w:rsid w:val="00B82C08"/>
    <w:rsid w:val="00BB60B6"/>
    <w:rsid w:val="00C1046B"/>
    <w:rsid w:val="00C146FF"/>
    <w:rsid w:val="00C70A60"/>
    <w:rsid w:val="00CA53B1"/>
    <w:rsid w:val="00CA63F7"/>
    <w:rsid w:val="00CB1517"/>
    <w:rsid w:val="00CB7CBA"/>
    <w:rsid w:val="00CC3C38"/>
    <w:rsid w:val="00CE4982"/>
    <w:rsid w:val="00D03B97"/>
    <w:rsid w:val="00D07BAE"/>
    <w:rsid w:val="00D109CD"/>
    <w:rsid w:val="00D141A0"/>
    <w:rsid w:val="00D7684B"/>
    <w:rsid w:val="00D8733A"/>
    <w:rsid w:val="00D918C4"/>
    <w:rsid w:val="00DC77AA"/>
    <w:rsid w:val="00DC7DA2"/>
    <w:rsid w:val="00E31C1C"/>
    <w:rsid w:val="00E543DC"/>
    <w:rsid w:val="00EA2B99"/>
    <w:rsid w:val="00EB255F"/>
    <w:rsid w:val="00EC178F"/>
    <w:rsid w:val="00EE4347"/>
    <w:rsid w:val="00F03EA2"/>
    <w:rsid w:val="00F106C0"/>
    <w:rsid w:val="00F73D57"/>
    <w:rsid w:val="00FA314E"/>
    <w:rsid w:val="00FD1B8D"/>
    <w:rsid w:val="00FE2A40"/>
    <w:rsid w:val="166F2AF9"/>
    <w:rsid w:val="2A084FCD"/>
    <w:rsid w:val="2B2D3582"/>
    <w:rsid w:val="3D733577"/>
    <w:rsid w:val="4AD942CD"/>
    <w:rsid w:val="70677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</w:style>
  <w:style w:type="paragraph" w:styleId="3">
    <w:name w:val="Plain Text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firstLine="420" w:firstLineChars="200"/>
    </w:pPr>
    <w:rPr>
      <w:rFonts w:ascii="仿宋_GB2312" w:hAnsi="宋体" w:eastAsia="仿宋_GB2312"/>
      <w:color w:val="000000"/>
      <w:szCs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4">
    <w:name w:val="纯文本 Char"/>
    <w:link w:val="3"/>
    <w:locked/>
    <w:uiPriority w:val="0"/>
    <w:rPr>
      <w:rFonts w:ascii="宋体" w:hAnsi="宋体"/>
      <w:sz w:val="24"/>
      <w:szCs w:val="24"/>
    </w:rPr>
  </w:style>
  <w:style w:type="character" w:customStyle="1" w:styleId="15">
    <w:name w:val="纯文本 Char1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正文文本 Char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relations xmlns="http://www.yonyou.com/relation"/>
</file>

<file path=customXml/item4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61415-6A74-44E1-9E07-06B4BCF1C47F}">
  <ds:schemaRefs/>
</ds:datastoreItem>
</file>

<file path=customXml/itemProps3.xml><?xml version="1.0" encoding="utf-8"?>
<ds:datastoreItem xmlns:ds="http://schemas.openxmlformats.org/officeDocument/2006/customXml" ds:itemID="{01D0748B-9F86-40B3-9886-496E692BB357}">
  <ds:schemaRefs/>
</ds:datastoreItem>
</file>

<file path=customXml/itemProps4.xml><?xml version="1.0" encoding="utf-8"?>
<ds:datastoreItem xmlns:ds="http://schemas.openxmlformats.org/officeDocument/2006/customXml" ds:itemID="{81C4F02E-792D-44F9-9F2E-CB515CB8C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ScaleCrop>false</ScaleCrop>
  <LinksUpToDate>false</LinksUpToDate>
  <CharactersWithSpaces>1312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2017-05-16T14:25:00Z</dcterms:created>
  <dc:creator>武秀川</dc:creator>
  <cp:lastModifiedBy>Administrator</cp:lastModifiedBy>
  <cp:lastPrinted>2017-10-09T08:52:57Z</cp:lastPrinted>
  <dcterms:modified xsi:type="dcterms:W3CDTF">2017-10-09T08:53:24Z</dcterms:modified>
  <dc:title>2014人才培养方案发给各系的材料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